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254"/>
        <w:gridCol w:w="1417"/>
        <w:gridCol w:w="4394"/>
      </w:tblGrid>
      <w:tr w:rsidR="00946849" w:rsidRPr="005063C0" w:rsidTr="00946849">
        <w:trPr>
          <w:trHeight w:val="2552"/>
        </w:trPr>
        <w:tc>
          <w:tcPr>
            <w:tcW w:w="4254" w:type="dxa"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Автономное учреждение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дополнительного образования</w:t>
            </w:r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   Республики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>«Республиканский Центр туризма, отдыха и оздоровления»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Алтай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г. Горно-Алтайск, ул. Заречная, 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(388-22) 2-60-76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2-61-81</w:t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="00C078C2"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sytur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@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EE483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="00C078C2"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y</w:t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tur@mail.ru</w:t>
            </w:r>
            <w:r w:rsidR="00C078C2" w:rsidRPr="0094684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946849" w:rsidRPr="00EE483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</w:t>
            </w:r>
            <w:proofErr w:type="spellEnd"/>
            <w:r w:rsidRPr="00EE48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2553970</wp:posOffset>
                  </wp:positionH>
                  <wp:positionV relativeFrom="paragraph">
                    <wp:posOffset>-12700</wp:posOffset>
                  </wp:positionV>
                  <wp:extent cx="731520" cy="762000"/>
                  <wp:effectExtent l="0" t="0" r="0" b="0"/>
                  <wp:wrapNone/>
                  <wp:docPr id="2" name="Рисунок 2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946849" w:rsidRPr="00EE483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Алтай 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ӱзеери  ÿредӱ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беретен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«Туризм,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амыраш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ла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су-кадыкты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орныктырары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аайынча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республикан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тӧс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  <w:b/>
              </w:rPr>
              <w:t>јер</w:t>
            </w:r>
            <w:proofErr w:type="spellEnd"/>
            <w:r w:rsidRPr="00946849">
              <w:rPr>
                <w:rFonts w:ascii="Times New Roman" w:eastAsia="Times New Roman" w:hAnsi="Times New Roman" w:cs="Times New Roman"/>
                <w:b/>
              </w:rPr>
              <w:t xml:space="preserve"> » 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деп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автоном</w:t>
            </w:r>
            <w:proofErr w:type="spellEnd"/>
            <w:r w:rsidRPr="009468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учреждениези</w:t>
            </w:r>
            <w:proofErr w:type="spellEnd"/>
          </w:p>
          <w:p w:rsidR="00946849" w:rsidRPr="00946849" w:rsidRDefault="00946849" w:rsidP="009468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46849">
              <w:rPr>
                <w:rFonts w:ascii="Times New Roman" w:eastAsia="Times New Roman" w:hAnsi="Times New Roman" w:cs="Times New Roman"/>
              </w:rPr>
              <w:t xml:space="preserve">                  Алтай </w:t>
            </w:r>
            <w:proofErr w:type="spellStart"/>
            <w:r w:rsidRPr="00946849">
              <w:rPr>
                <w:rFonts w:ascii="Times New Roman" w:eastAsia="Times New Roman" w:hAnsi="Times New Roman" w:cs="Times New Roman"/>
              </w:rPr>
              <w:t>Республиканын</w:t>
            </w:r>
            <w:proofErr w:type="spellEnd"/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Горно-Алтайск, Заречная оромы,1</w:t>
            </w:r>
          </w:p>
          <w:p w:rsidR="00946849" w:rsidRPr="007E5108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E51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(388-22) 2-60-76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2-61-81</w:t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E-mail:  </w:t>
            </w:r>
            <w:r w:rsidR="00C078C2" w:rsidRPr="00C0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468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"mailto:sytur@mail.ru" </w:instrText>
            </w:r>
            <w:r w:rsidR="00C078C2" w:rsidRPr="00C07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t>sytur@mail.ru</w:t>
            </w:r>
            <w:r w:rsidR="00C078C2" w:rsidRPr="00946849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/>
              </w:rPr>
              <w:fldChar w:fldCharType="end"/>
            </w:r>
          </w:p>
          <w:p w:rsidR="00946849" w:rsidRPr="00946849" w:rsidRDefault="00946849" w:rsidP="0094684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WWW: </w:t>
            </w:r>
            <w:r w:rsidRPr="00946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ressutur.ru</w:t>
            </w:r>
          </w:p>
        </w:tc>
      </w:tr>
    </w:tbl>
    <w:p w:rsidR="00A029A8" w:rsidRPr="007E5108" w:rsidRDefault="00A029A8" w:rsidP="00A029A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6A5575" w:rsidRPr="007E5108" w:rsidRDefault="005063C0" w:rsidP="00A029A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«28»  марта  2018</w:t>
      </w:r>
      <w:r w:rsidR="00D32D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9A8">
        <w:rPr>
          <w:rFonts w:ascii="Times New Roman" w:eastAsia="Times New Roman" w:hAnsi="Times New Roman" w:cs="Times New Roman"/>
          <w:lang w:eastAsia="ru-RU"/>
        </w:rPr>
        <w:t>г.</w:t>
      </w:r>
      <w:r w:rsidR="00816627">
        <w:rPr>
          <w:rFonts w:ascii="Times New Roman" w:eastAsia="Times New Roman" w:hAnsi="Times New Roman" w:cs="Times New Roman"/>
          <w:lang w:eastAsia="ru-RU"/>
        </w:rPr>
        <w:t xml:space="preserve"> № 163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946849" w:rsidRPr="007E5108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946849" w:rsidRPr="007E51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A5575" w:rsidRPr="007E5108" w:rsidRDefault="006A5575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90" w:rsidRPr="00B85690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Отчёт о результатах </w:t>
      </w:r>
      <w:proofErr w:type="spellStart"/>
      <w:r w:rsidRPr="00B856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A41DAF" w:rsidRDefault="00A41DAF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Pr="00B85690" w:rsidRDefault="00D32D1C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2017-2018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A41DAF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A41DAF" w:rsidP="00A41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наименование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Автономное 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  д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 «Респу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A41D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онно-правовая форма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автономное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учреждение.</w:t>
      </w:r>
    </w:p>
    <w:p w:rsidR="00B85690" w:rsidRPr="00B85690" w:rsidRDefault="00A41DAF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ип: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41DAF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юридический адрес Организации:</w:t>
      </w:r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649002, Республика Алтай, г.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="00A4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Заречная, дом №1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 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помещении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по адресу: 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Алтай, г.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дом №1. и в  зданиях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бразовательных организаций</w:t>
      </w:r>
      <w:r w:rsidR="0035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города:</w:t>
      </w:r>
      <w:r w:rsidR="00C6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БОУ РА «РГ им. В.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Плакаса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36D57" w:rsidRPr="002B50A8">
        <w:rPr>
          <w:rFonts w:ascii="Times New Roman" w:hAnsi="Times New Roman" w:cs="Times New Roman"/>
        </w:rPr>
        <w:t xml:space="preserve"> КОУ РА «Школа-интернат   для детей-сирот и детей, оставшихся   без попечения родителей, им. Г.К. Жукова»</w:t>
      </w:r>
      <w:r w:rsidR="002B50A8">
        <w:rPr>
          <w:rFonts w:ascii="Times New Roman" w:hAnsi="Times New Roman" w:cs="Times New Roman"/>
        </w:rPr>
        <w:t>.</w:t>
      </w:r>
    </w:p>
    <w:p w:rsidR="00B85690" w:rsidRPr="00B85690" w:rsidRDefault="00B85690" w:rsidP="00D016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Лицензия: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04 Л01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№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0000448 от 27.12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действия: бессрочно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B85690" w:rsidRDefault="00B85690" w:rsidP="00D016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1642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образовательной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реги</w:t>
      </w:r>
      <w:r w:rsidR="00D01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регистрационный номер) 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>17 декабря 2015 г. № 2150411107383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150DAE" w:rsidP="00150DAE">
      <w:pPr>
        <w:pStyle w:val="a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учреждения 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Республика Алтай. Функции 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учредителя Автономного учреждения от имени Республики Алтай осуществ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 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Алтай</w:t>
      </w:r>
      <w:r w:rsidRP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B85690" w:rsidRDefault="00B85690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/факс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(388-22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26181, 26076</w:t>
      </w:r>
      <w:r w:rsidR="000E62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D5424F" w:rsidRDefault="00AC587C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150DAE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50DAE" w:rsidRP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sytur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50D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50DAE" w:rsidRPr="0096680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85690" w:rsidRPr="00D5424F" w:rsidRDefault="00150DAE" w:rsidP="00150DA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7" w:history="1">
        <w:r w:rsidR="00EE44AE" w:rsidRPr="00EE44A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E44AE" w:rsidRPr="00D542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ressutur</w:t>
      </w:r>
      <w:proofErr w:type="spellEnd"/>
      <w:r w:rsidR="00EE44AE" w:rsidRPr="00D54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EE44AE" w:rsidRPr="00EE44A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B85690" w:rsidRPr="00B85690" w:rsidRDefault="00150DAE" w:rsidP="000037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Организации</w:t>
      </w:r>
      <w:r w:rsidR="00B85690" w:rsidRPr="005741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Львович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законодательством Российской Федерации в области образования, Конституцией РФ, Конвенцией о правах ребенка, законом РФ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«Типовым положением об учреждении дополнительного образования»,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946849" w:rsidP="00AC5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организация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образования: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 развитие спорта, туризма, краеведения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</w:t>
      </w:r>
      <w:r w:rsidR="00521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proofErr w:type="spellEnd"/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Алтай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условия для удовлетворения заказа детей и родителей на дополнительные образовательны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услуги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2B50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C5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краеведческой</w:t>
      </w:r>
      <w:r w:rsidR="00B07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:rsidR="00324B9C" w:rsidRPr="00B85690" w:rsidRDefault="00324B9C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способствует патриотическому воспитанию;  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расширению кругозора детей, приобретению практических навыков, интеграции дополнительного образования детей в общее образовательное</w:t>
      </w:r>
      <w:r w:rsidR="00D5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выполнения требований безопасности, санитарии и гигиены при проведении занятий и различных мероприятий;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пропаганду здорового активного образа жизни, пров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 массово- спортивную работу;</w:t>
      </w:r>
    </w:p>
    <w:p w:rsidR="00B07529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организованный отдых детей в летн</w:t>
      </w:r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загородном лагере «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с. Озерное, </w:t>
      </w:r>
      <w:proofErr w:type="spellStart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Майминского</w:t>
      </w:r>
      <w:proofErr w:type="spellEnd"/>
      <w:r w:rsidR="00D3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32D1C" w:rsidRDefault="00D32D1C" w:rsidP="00D32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осуществляет организованный отдых и тренировочный процесс детей в летний период на учебно – тренировочной базе «Азимут»,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D32D1C" w:rsidRPr="00B85690" w:rsidRDefault="00D32D1C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размещение детских организованных детских групп на детской туристской базе «Заречье»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85690" w:rsidRPr="0057414B" w:rsidRDefault="00B85690" w:rsidP="00A41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85690" w:rsidRPr="0057414B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 – правовое обеспечение образовательной деятельности </w:t>
      </w:r>
    </w:p>
    <w:p w:rsidR="00B85690" w:rsidRPr="00B85690" w:rsidRDefault="00D5424F" w:rsidP="005B27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деятельн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по следующим локальным актам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регламентирующим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деятельность: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педагогическом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методическом Совете;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общем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 трудового коллектива;</w:t>
      </w:r>
    </w:p>
    <w:p w:rsid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приёма обучающихся;</w:t>
      </w:r>
    </w:p>
    <w:p w:rsidR="005B27C1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родительском собрании;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массовых мероприятиях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положение о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 защите персональных данных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распределении стимулирующей части фонда оплаты труда</w:t>
      </w:r>
      <w:r w:rsidR="005B2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аттестации;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инструкции о правилах техники безопасности;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договора;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договора о совместной деятельности;</w:t>
      </w:r>
    </w:p>
    <w:p w:rsidR="00B85690" w:rsidRPr="00B85690" w:rsidRDefault="00B85690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директора;</w:t>
      </w:r>
    </w:p>
    <w:p w:rsidR="00B85690" w:rsidRPr="00B85690" w:rsidRDefault="005B27C1" w:rsidP="00946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расписания, графики.</w:t>
      </w:r>
    </w:p>
    <w:p w:rsidR="00B85690" w:rsidRPr="00B85690" w:rsidRDefault="00B85690" w:rsidP="00A41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5690" w:rsidRPr="005B27C1" w:rsidRDefault="00B85690" w:rsidP="005B27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 направленность образовательных программ</w:t>
      </w:r>
    </w:p>
    <w:p w:rsidR="00B85690" w:rsidRDefault="005B27C1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Организации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разработан на основании цели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задач:</w:t>
      </w:r>
    </w:p>
    <w:p w:rsidR="00A02716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оптимальных условий для осуществления учебно-воспитательной деятельности, развития творческих способностей обучающихся, удовлетворения их интересов и потребностей по туристско-спортивной, краеведческой, экскурсионной деятельности, в профессиональном самоопределении и активном участии в массовых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716" w:rsidRPr="00A02716" w:rsidRDefault="00A02716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образовательных организаций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туристско-спортивному, краеведческому, экскурсионному направлениям в соответствии с запросами родителей, обучающихся, социальных потребностей;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качество дополнительного образования детей туристско-спортивного, краеведческого, экскурсионного направлений;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организации профильного, начального профессионального образования туристско-спортивной, краеведческой, экскурсионной направленности;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туристско-спортив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виды деятельности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ряда спортивных и культурно-массовых мероприятий;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научно-исследовательскую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патриотическую 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туристско-спортивную деятельность обучающихся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ворческих объединений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2716" w:rsidRPr="00A02716" w:rsidRDefault="00324B9C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методической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структурных подразделений, педагогических работников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02716"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экску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рсионную деятельность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716" w:rsidRPr="00A02716" w:rsidRDefault="00A02716" w:rsidP="00A027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 обучающихся Организации</w:t>
      </w:r>
      <w:r w:rsidRP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судейской и туристской деятельности.</w:t>
      </w:r>
    </w:p>
    <w:p w:rsidR="00B85690" w:rsidRPr="00B85690" w:rsidRDefault="00B85690" w:rsidP="00A027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Основополагающими документами при составлении  учебного план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РФ «Об образовании</w:t>
      </w:r>
      <w:r w:rsidR="0094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5690" w:rsidRPr="00B85690" w:rsidRDefault="003B46BA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образовательном учреждении дополнительного образования детей;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 – эпидемиолог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требования к организациям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детей;</w:t>
      </w:r>
    </w:p>
    <w:p w:rsidR="00B85690" w:rsidRPr="00B85690" w:rsidRDefault="00A02716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Организации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5690" w:rsidRPr="00B85690" w:rsidRDefault="00B85690" w:rsidP="00946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690" w:rsidRPr="00B85690" w:rsidRDefault="00B85690" w:rsidP="008166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ритетные направления работы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профилактика правонарушений;</w:t>
      </w:r>
    </w:p>
    <w:p w:rsid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занятость обучающихся в свободное в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ремя;</w:t>
      </w:r>
    </w:p>
    <w:p w:rsidR="00B07529" w:rsidRPr="00B85690" w:rsidRDefault="00B07529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занятость обучающихся в летний период;</w:t>
      </w:r>
    </w:p>
    <w:p w:rsidR="00B85690" w:rsidRPr="00B85690" w:rsidRDefault="00A02716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укрепление здоровья;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воспитание патриотизм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дисциплины и ответственности;</w:t>
      </w:r>
    </w:p>
    <w:p w:rsidR="00B85690" w:rsidRPr="00B85690" w:rsidRDefault="00B85690" w:rsidP="0094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помощь в выборе будущей профессии.</w:t>
      </w:r>
    </w:p>
    <w:p w:rsidR="00B85690" w:rsidRPr="00B85690" w:rsidRDefault="00B85690" w:rsidP="00A027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по 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учебных планов, Организация</w:t>
      </w:r>
      <w:r w:rsidR="006E3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пользуется 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 по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 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краеведческому направлению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Годовой учебный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считан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нед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ель. В летнее время организуются походы, экскурсии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массовые мероприятия, отд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стационарном летнем лагере, стационарной учебно – тренировочной базе. </w:t>
      </w:r>
    </w:p>
    <w:p w:rsidR="00B85690" w:rsidRDefault="00B85690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="00A0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учетом режима школьного дня и занятости детей в 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 Организациях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proofErr w:type="spellStart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085" w:rsidRPr="00B85690" w:rsidRDefault="00AB1085" w:rsidP="005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690" w:rsidRPr="00AB1085" w:rsidRDefault="00B85690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0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AB1085" w:rsidRPr="00B85690" w:rsidRDefault="00AB080A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 ДО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 «Респу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бликанский Центр туризма, отдыха и оздоровления</w:t>
      </w:r>
      <w:r w:rsidR="00AB10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5690" w:rsidRDefault="00D32D1C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2018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514"/>
        <w:gridCol w:w="1920"/>
        <w:gridCol w:w="1214"/>
        <w:gridCol w:w="1230"/>
        <w:gridCol w:w="1228"/>
        <w:gridCol w:w="1684"/>
        <w:gridCol w:w="1781"/>
      </w:tblGrid>
      <w:tr w:rsidR="00D32D1C" w:rsidTr="00CF1A3F">
        <w:trPr>
          <w:jc w:val="center"/>
        </w:trPr>
        <w:tc>
          <w:tcPr>
            <w:tcW w:w="514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932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Кружок, объединение,</w:t>
            </w:r>
          </w:p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40" w:type="dxa"/>
            <w:gridSpan w:val="3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бучающихся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годам </w:t>
            </w:r>
          </w:p>
        </w:tc>
        <w:tc>
          <w:tcPr>
            <w:tcW w:w="1708" w:type="dxa"/>
            <w:vMerge w:val="restart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80514">
              <w:rPr>
                <w:rFonts w:ascii="Times New Roman" w:eastAsia="Times New Roman" w:hAnsi="Times New Roman" w:cs="Times New Roman"/>
                <w:lang w:eastAsia="ru-RU"/>
              </w:rPr>
              <w:t>асов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811" w:type="dxa"/>
            <w:vMerge w:val="restart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</w:t>
            </w:r>
            <w:r w:rsidRPr="00200770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часов</w:t>
            </w:r>
          </w:p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</w:tr>
      <w:tr w:rsidR="00D32D1C" w:rsidRPr="002A384B" w:rsidTr="00CF1A3F">
        <w:trPr>
          <w:jc w:val="center"/>
        </w:trPr>
        <w:tc>
          <w:tcPr>
            <w:tcW w:w="514" w:type="dxa"/>
            <w:vMerge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8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  <w:tc>
          <w:tcPr>
            <w:tcW w:w="127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</w:tc>
        <w:tc>
          <w:tcPr>
            <w:tcW w:w="1266" w:type="dxa"/>
          </w:tcPr>
          <w:p w:rsidR="00CF1A3F" w:rsidRPr="00480514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3год</w:t>
            </w:r>
          </w:p>
        </w:tc>
        <w:tc>
          <w:tcPr>
            <w:tcW w:w="1708" w:type="dxa"/>
            <w:vMerge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1" w:type="dxa"/>
            <w:vMerge/>
          </w:tcPr>
          <w:p w:rsidR="00CF1A3F" w:rsidRPr="002A384B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Юные</w:t>
            </w: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  краеведы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Музей для всех и каждого </w:t>
            </w:r>
          </w:p>
        </w:tc>
        <w:tc>
          <w:tcPr>
            <w:tcW w:w="1098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816627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(дети инвалиды)</w:t>
            </w:r>
          </w:p>
        </w:tc>
        <w:tc>
          <w:tcPr>
            <w:tcW w:w="1276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6" w:type="dxa"/>
          </w:tcPr>
          <w:p w:rsidR="00CF1A3F" w:rsidRDefault="00D32D1C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8" w:type="dxa"/>
          </w:tcPr>
          <w:p w:rsidR="00CF1A3F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1" w:type="dxa"/>
          </w:tcPr>
          <w:p w:rsidR="00CF1A3F" w:rsidRDefault="00816627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Спортивное ориентирование 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71990">
              <w:rPr>
                <w:rFonts w:ascii="Times New Roman" w:eastAsia="Times New Roman" w:hAnsi="Times New Roman" w:cs="Times New Roman"/>
                <w:lang w:eastAsia="ru-RU"/>
              </w:rPr>
              <w:t>Туристы - проводники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932" w:type="dxa"/>
          </w:tcPr>
          <w:p w:rsidR="00CF1A3F" w:rsidRPr="00B71990" w:rsidRDefault="00CF1A3F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Краеведы - исследователи</w:t>
            </w:r>
          </w:p>
        </w:tc>
        <w:tc>
          <w:tcPr>
            <w:tcW w:w="1098" w:type="dxa"/>
          </w:tcPr>
          <w:p w:rsidR="00CF1A3F" w:rsidRDefault="00F06362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  <w:tr w:rsidR="00D32D1C" w:rsidTr="00CF1A3F">
        <w:trPr>
          <w:jc w:val="center"/>
        </w:trPr>
        <w:tc>
          <w:tcPr>
            <w:tcW w:w="514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932" w:type="dxa"/>
          </w:tcPr>
          <w:p w:rsidR="00CF1A3F" w:rsidRPr="00B71990" w:rsidRDefault="00D32D1C" w:rsidP="00CF1A3F">
            <w:pPr>
              <w:pStyle w:val="aa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Туристы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проводники</w:t>
            </w:r>
            <w:r w:rsidR="00CF1A3F" w:rsidRPr="00B71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9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66" w:type="dxa"/>
          </w:tcPr>
          <w:p w:rsidR="00CF1A3F" w:rsidRPr="00200770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8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1" w:type="dxa"/>
          </w:tcPr>
          <w:p w:rsidR="00CF1A3F" w:rsidRDefault="00CF1A3F" w:rsidP="00CF1A3F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</w:tr>
    </w:tbl>
    <w:p w:rsidR="00CF1A3F" w:rsidRDefault="00CF1A3F" w:rsidP="00AB1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371377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 работает 7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351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– 8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 – 125</w:t>
      </w:r>
      <w:r w:rsidR="00D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85690"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4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CB3" w:rsidRDefault="00D10760" w:rsidP="005744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дополнительного образования, предоставляемые организацией, осуществляются </w:t>
      </w:r>
      <w:r w:rsidR="00BD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бесплатной основе, </w:t>
      </w:r>
      <w:r w:rsidR="003B4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очное</w:t>
      </w:r>
      <w:r w:rsidR="00F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899" w:rsidRDefault="00F32899" w:rsidP="00D107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448" w:rsidRDefault="00B85690" w:rsidP="008166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</w:t>
      </w:r>
      <w:r w:rsidR="00907845"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образовательного процесса.</w:t>
      </w:r>
      <w:r w:rsidRPr="00027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07845" w:rsidRPr="00574448" w:rsidRDefault="00B85690" w:rsidP="00574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  Организации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инициативные, высококвалифицированные, творческие специалисты, осуществляющие совместными усилиями педагогический поиск по актуальным проблемам развития личности в образовательном прос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транстве туристско – краеведческой </w:t>
      </w: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907845" w:rsidRDefault="00B85690" w:rsidP="00907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="00907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стабилен.</w:t>
      </w:r>
    </w:p>
    <w:p w:rsidR="00DD4A94" w:rsidRDefault="0090784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Организац</w:t>
      </w:r>
      <w:r w:rsidR="00444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работает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A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внутренних совместителя</w:t>
      </w:r>
      <w:r w:rsidR="00362C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туристско-</w:t>
      </w:r>
      <w:r w:rsidR="00D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спортивному, краеведческому, экскурсионному направлениям.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успешно работает   методическая служба, ежегодно проводятся ставшие уже традиционными семинары для педагогов, работающих в туристско – спортивном, краеведческом</w:t>
      </w:r>
      <w:r w:rsidR="0032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экскурсионном направлениях. Ведется работа 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музеями образовательных организаций Республики Алтай.</w:t>
      </w:r>
    </w:p>
    <w:p w:rsidR="00801912" w:rsidRDefault="00801912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методистов – краеведов становятся краеведческие чтения, слеты экскурсоводов обучающихся Республики Алтай. Члены независимого жюри конкурсов отмечают лучшую подготовку участников  по сравнению с предыдущими годами, грамотное оформление научных работ, документов для проведения виртуальной экскурсии.</w:t>
      </w:r>
    </w:p>
    <w:p w:rsidR="009A6B31" w:rsidRDefault="00E0226C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</w:t>
      </w:r>
      <w:r w:rsidR="00E138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туристско – спортивной работе очень сложно оценить положительную тенденцию развития туризма как спорта, в туристском регионе как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является Республика Алтай. В р</w:t>
      </w:r>
      <w:r w:rsidR="009A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еспубликанских  соревнованиях проводимых Организацией участвует минимальное количество команд  муниципальных образований республики. Основные причины отсутствия команд на соревнованиях отмечают отсутствие специалистов в области спортивного туризма и ориентирования, отсутствие финансов для участия команды в соревнованиях. </w:t>
      </w:r>
    </w:p>
    <w:p w:rsidR="009A6B31" w:rsidRDefault="009A6B31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середине мая методисты Организации проводят учебно – практический семинар для педагогов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туристско-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 нап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равлении, организуются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похо</w:t>
      </w:r>
      <w:r w:rsidR="00475F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для педагогов,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семинары проводятся бесплатно.</w:t>
      </w:r>
    </w:p>
    <w:p w:rsidR="000C3BB5" w:rsidRDefault="00E13805" w:rsidP="00027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C3BB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етодистами Организации выпускаются методические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туристско – спортивному, краеведческому, экскурсионному направлениям.</w:t>
      </w:r>
    </w:p>
    <w:p w:rsidR="000C3BB5" w:rsidRDefault="000C3BB5" w:rsidP="00521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BB5" w:rsidRDefault="000C3BB5" w:rsidP="000C3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</w:t>
      </w:r>
    </w:p>
    <w:p w:rsidR="00220656" w:rsidRDefault="000C3BB5" w:rsidP="0022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Организации для осуществления учебной деятельно</w:t>
      </w:r>
      <w:r w:rsidR="00574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имеется учебная  аудитория.</w:t>
      </w:r>
    </w:p>
    <w:p w:rsidR="00816627" w:rsidRPr="00816627" w:rsidRDefault="00CF1A3F" w:rsidP="0081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</w:t>
      </w:r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3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тренировочная база 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«Азимут», в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2017 года проведены сборы 130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Республики Алтай, 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16-я Межрегиональная экологическая экспедиция школьн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России  с 1 по 16 июля 2017 года. В экспедиции приняли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делегации 25 регионо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и Республики Болгария. 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экспедиции 300 человек (230 обучающи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хся, 63 педагога, 7 волонтеров) среди педагогов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победитель региональных и всероссийских конкурсов «Учитель года».</w:t>
      </w:r>
    </w:p>
    <w:p w:rsidR="00816627" w:rsidRPr="00816627" w:rsidRDefault="00F06362" w:rsidP="0081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экспедиции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работали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полевых маст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ерских, в которых учащиеся  осваивали</w:t>
      </w:r>
      <w:r w:rsidR="00816627"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исследовательских и проектных работ по экологическим, естественнонаучным, краеведческим программам.</w:t>
      </w:r>
    </w:p>
    <w:p w:rsidR="00816627" w:rsidRPr="00816627" w:rsidRDefault="00816627" w:rsidP="0081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627" w:rsidRPr="00816627" w:rsidRDefault="00816627" w:rsidP="0081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 на базе экспедиции были</w:t>
      </w: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курсы повышения квалиф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икации, для молодых учителей Республики Алтай, а преподавали</w:t>
      </w: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педагоги-«Учителя года», участвующие в экспедиции.</w:t>
      </w:r>
    </w:p>
    <w:p w:rsidR="00D83252" w:rsidRDefault="00816627" w:rsidP="00816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учебной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раммой экспедиции участники посетили четыре</w:t>
      </w: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экскурсионные программы, знакомящие с историей, культурой и природой Горного Алтая.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экспедиции завершилась</w:t>
      </w:r>
      <w:r w:rsidRP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конференцией.</w:t>
      </w:r>
    </w:p>
    <w:p w:rsidR="00CF1A3F" w:rsidRDefault="00CF1A3F" w:rsidP="00CF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присоединен лагерь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Манжерок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работа лагеря осуществляется в летнее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 летний период 2017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лагере отдохнуло более 6</w:t>
      </w:r>
      <w:r w:rsidR="003E3EB1">
        <w:rPr>
          <w:rFonts w:ascii="Times New Roman" w:eastAsia="Times New Roman" w:hAnsi="Times New Roman" w:cs="Times New Roman"/>
          <w:sz w:val="24"/>
          <w:szCs w:val="24"/>
          <w:lang w:eastAsia="ru-RU"/>
        </w:rPr>
        <w:t>00 школьников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="0081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9A8" w:rsidRPr="00FD53ED" w:rsidRDefault="00B85690" w:rsidP="00FD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года в республиканской  газете «Звезда Алтая»</w:t>
      </w:r>
      <w:r w:rsidR="00A029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ВГТРК «Горный Алтай»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 освещаются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результаты выступлений обучающихся на соревнованиях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конкурсах, НОУ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ичного уровня.  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Итоги 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оведенных мероприятий размещаются</w:t>
      </w:r>
      <w:r w:rsid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Организации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Е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годно обновляются стенды</w:t>
      </w:r>
      <w:r w:rsidRPr="005744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206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Пополняется коллекция краеведческого музея Организации.</w:t>
      </w:r>
    </w:p>
    <w:p w:rsidR="006A5575" w:rsidRDefault="003E3EB1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FD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</w:t>
      </w:r>
      <w:proofErr w:type="spellStart"/>
      <w:r w:rsidR="00F06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Абакаев</w:t>
      </w:r>
      <w:proofErr w:type="spellEnd"/>
    </w:p>
    <w:p w:rsidR="00FD53ED" w:rsidRPr="006A5575" w:rsidRDefault="00FD53ED" w:rsidP="00FD53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1"/>
        <w:gridCol w:w="6964"/>
        <w:gridCol w:w="1660"/>
      </w:tblGrid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0" w:name="Par746"/>
            <w:bookmarkEnd w:id="0"/>
            <w:r w:rsidRPr="006A55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55371">
              <w:rPr>
                <w:rFonts w:ascii="Times New Roman" w:hAnsi="Times New Roman" w:cs="Times New Roman"/>
              </w:rPr>
              <w:t xml:space="preserve"> </w:t>
            </w:r>
            <w:r w:rsidR="006A5575" w:rsidRPr="006A5575">
              <w:rPr>
                <w:rFonts w:ascii="Times New Roman" w:hAnsi="Times New Roman" w:cs="Times New Roman"/>
              </w:rPr>
              <w:t>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Старшего возраста (18 и старше)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</w:t>
            </w:r>
            <w:r w:rsidRPr="006A5575">
              <w:rPr>
                <w:rFonts w:ascii="Times New Roman" w:hAnsi="Times New Roman" w:cs="Times New Roman"/>
              </w:rPr>
              <w:lastRenderedPageBreak/>
              <w:t>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11/14,2%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21/15,4%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F063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/ 90,4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34/25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83/61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66/48,5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12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8/5,8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925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C2A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D0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A5575" w:rsidRPr="006A5575">
              <w:rPr>
                <w:rFonts w:ascii="Times New Roman" w:hAnsi="Times New Roman" w:cs="Times New Roman"/>
              </w:rPr>
              <w:t xml:space="preserve"> чел./ 100%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56BED">
              <w:rPr>
                <w:rFonts w:ascii="Times New Roman" w:hAnsi="Times New Roman" w:cs="Times New Roman"/>
              </w:rPr>
              <w:t xml:space="preserve"> чел./ 71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D832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чел./ 8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83252">
              <w:rPr>
                <w:rFonts w:ascii="Times New Roman" w:eastAsia="Times New Roman" w:hAnsi="Times New Roman" w:cs="Times New Roman"/>
              </w:rPr>
              <w:t xml:space="preserve"> чел./20%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A02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83252">
              <w:rPr>
                <w:rFonts w:ascii="Times New Roman" w:hAnsi="Times New Roman" w:cs="Times New Roman"/>
              </w:rPr>
              <w:t xml:space="preserve"> чел./ 6</w:t>
            </w:r>
            <w:r w:rsidR="006A5575" w:rsidRPr="006A5575">
              <w:rPr>
                <w:rFonts w:ascii="Times New Roman" w:hAnsi="Times New Roman" w:cs="Times New Roman"/>
              </w:rPr>
              <w:t>0%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AC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1/14%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7B2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A5575" w:rsidRPr="006A5575">
              <w:rPr>
                <w:rFonts w:ascii="Times New Roman" w:hAnsi="Times New Roman" w:cs="Times New Roman"/>
              </w:rPr>
              <w:t xml:space="preserve"> чел</w:t>
            </w:r>
            <w:r w:rsidR="00A029A8">
              <w:rPr>
                <w:rFonts w:ascii="Times New Roman" w:hAnsi="Times New Roman" w:cs="Times New Roman"/>
              </w:rPr>
              <w:t>/ 77</w:t>
            </w:r>
            <w:r w:rsidR="006A5575" w:rsidRPr="006A5575">
              <w:rPr>
                <w:rFonts w:ascii="Times New Roman" w:hAnsi="Times New Roman" w:cs="Times New Roman"/>
              </w:rPr>
              <w:t>%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CE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чел.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EE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EE4839" w:rsidRDefault="00EE4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2" w:name="Par923"/>
            <w:bookmarkEnd w:id="2"/>
            <w:r w:rsidRPr="006A55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5575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1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-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D71B81" w:rsidRDefault="00D71B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Наличие в образовательной организации системы электронного </w:t>
            </w:r>
            <w:r w:rsidRPr="006A5575">
              <w:rPr>
                <w:rFonts w:ascii="Times New Roman" w:hAnsi="Times New Roman" w:cs="Times New Roman"/>
              </w:rPr>
              <w:lastRenderedPageBreak/>
              <w:t>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6A5575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  <w:tr w:rsidR="006A5575" w:rsidTr="006A557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75" w:rsidRPr="006A5575" w:rsidRDefault="006A5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A5575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20656" w:rsidRDefault="00220656"/>
    <w:sectPr w:rsidR="00220656" w:rsidSect="00C0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A74"/>
    <w:multiLevelType w:val="multilevel"/>
    <w:tmpl w:val="5C4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A1276"/>
    <w:multiLevelType w:val="singleLevel"/>
    <w:tmpl w:val="04190001"/>
    <w:lvl w:ilvl="0">
      <w:start w:val="200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2B96"/>
    <w:rsid w:val="00003727"/>
    <w:rsid w:val="00022DE1"/>
    <w:rsid w:val="00027021"/>
    <w:rsid w:val="000C3BB5"/>
    <w:rsid w:val="000E6275"/>
    <w:rsid w:val="00137EB2"/>
    <w:rsid w:val="00150DAE"/>
    <w:rsid w:val="00162B96"/>
    <w:rsid w:val="00220656"/>
    <w:rsid w:val="0022594C"/>
    <w:rsid w:val="00243FD9"/>
    <w:rsid w:val="002B4C5A"/>
    <w:rsid w:val="002B50A8"/>
    <w:rsid w:val="002C03EC"/>
    <w:rsid w:val="00324B9C"/>
    <w:rsid w:val="00351CB3"/>
    <w:rsid w:val="00355371"/>
    <w:rsid w:val="00355844"/>
    <w:rsid w:val="00362CFF"/>
    <w:rsid w:val="00371377"/>
    <w:rsid w:val="003B46BA"/>
    <w:rsid w:val="003E3EB1"/>
    <w:rsid w:val="004343D1"/>
    <w:rsid w:val="00444D9F"/>
    <w:rsid w:val="00456BED"/>
    <w:rsid w:val="00475F59"/>
    <w:rsid w:val="005063C0"/>
    <w:rsid w:val="00521A1D"/>
    <w:rsid w:val="0057414B"/>
    <w:rsid w:val="00574448"/>
    <w:rsid w:val="005B27C1"/>
    <w:rsid w:val="00656515"/>
    <w:rsid w:val="006A5575"/>
    <w:rsid w:val="006E37E7"/>
    <w:rsid w:val="006F6C90"/>
    <w:rsid w:val="00745022"/>
    <w:rsid w:val="00780A81"/>
    <w:rsid w:val="00785B67"/>
    <w:rsid w:val="007B2AC5"/>
    <w:rsid w:val="007D0AB4"/>
    <w:rsid w:val="007E5108"/>
    <w:rsid w:val="00801912"/>
    <w:rsid w:val="00816627"/>
    <w:rsid w:val="008B36B7"/>
    <w:rsid w:val="008D271D"/>
    <w:rsid w:val="00907845"/>
    <w:rsid w:val="0091432F"/>
    <w:rsid w:val="0092543D"/>
    <w:rsid w:val="00946849"/>
    <w:rsid w:val="00946F67"/>
    <w:rsid w:val="009533F0"/>
    <w:rsid w:val="009A6B31"/>
    <w:rsid w:val="00A02716"/>
    <w:rsid w:val="00A029A8"/>
    <w:rsid w:val="00A41DAF"/>
    <w:rsid w:val="00AB080A"/>
    <w:rsid w:val="00AB1085"/>
    <w:rsid w:val="00AC2A4F"/>
    <w:rsid w:val="00AC587C"/>
    <w:rsid w:val="00B07529"/>
    <w:rsid w:val="00B67130"/>
    <w:rsid w:val="00B85690"/>
    <w:rsid w:val="00BA0826"/>
    <w:rsid w:val="00BD6E91"/>
    <w:rsid w:val="00C078C2"/>
    <w:rsid w:val="00C1220D"/>
    <w:rsid w:val="00C36D57"/>
    <w:rsid w:val="00C61E64"/>
    <w:rsid w:val="00C6478A"/>
    <w:rsid w:val="00CE3377"/>
    <w:rsid w:val="00CF1A3F"/>
    <w:rsid w:val="00D01642"/>
    <w:rsid w:val="00D10760"/>
    <w:rsid w:val="00D32D1C"/>
    <w:rsid w:val="00D5424F"/>
    <w:rsid w:val="00D71B81"/>
    <w:rsid w:val="00D83252"/>
    <w:rsid w:val="00DD4A94"/>
    <w:rsid w:val="00E0226C"/>
    <w:rsid w:val="00E13805"/>
    <w:rsid w:val="00E44220"/>
    <w:rsid w:val="00EE44AE"/>
    <w:rsid w:val="00EE4839"/>
    <w:rsid w:val="00F06362"/>
    <w:rsid w:val="00F32899"/>
    <w:rsid w:val="00F464B8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C2"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85690"/>
  </w:style>
  <w:style w:type="character" w:styleId="a3">
    <w:name w:val="Hyperlink"/>
    <w:basedOn w:val="a0"/>
    <w:uiPriority w:val="99"/>
    <w:unhideWhenUsed/>
    <w:rsid w:val="00B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5690"/>
    <w:rPr>
      <w:b/>
      <w:bCs/>
    </w:rPr>
  </w:style>
  <w:style w:type="character" w:styleId="a7">
    <w:name w:val="Emphasis"/>
    <w:basedOn w:val="a0"/>
    <w:uiPriority w:val="20"/>
    <w:qFormat/>
    <w:rsid w:val="00B85690"/>
    <w:rPr>
      <w:i/>
      <w:iCs/>
    </w:rPr>
  </w:style>
  <w:style w:type="paragraph" w:styleId="a8">
    <w:name w:val="Body Text"/>
    <w:basedOn w:val="a"/>
    <w:link w:val="a9"/>
    <w:uiPriority w:val="99"/>
    <w:unhideWhenUsed/>
    <w:rsid w:val="00150D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0DAE"/>
  </w:style>
  <w:style w:type="paragraph" w:styleId="aa">
    <w:name w:val="List Paragraph"/>
    <w:basedOn w:val="a"/>
    <w:uiPriority w:val="34"/>
    <w:qFormat/>
    <w:rsid w:val="00656515"/>
    <w:pPr>
      <w:ind w:left="720"/>
      <w:contextualSpacing/>
    </w:pPr>
  </w:style>
  <w:style w:type="table" w:styleId="ab">
    <w:name w:val="Table Grid"/>
    <w:basedOn w:val="a1"/>
    <w:uiPriority w:val="59"/>
    <w:rsid w:val="0065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tur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Петрович</cp:lastModifiedBy>
  <cp:revision>2</cp:revision>
  <cp:lastPrinted>2018-03-27T05:53:00Z</cp:lastPrinted>
  <dcterms:created xsi:type="dcterms:W3CDTF">2018-04-03T06:14:00Z</dcterms:created>
  <dcterms:modified xsi:type="dcterms:W3CDTF">2018-04-03T06:14:00Z</dcterms:modified>
</cp:coreProperties>
</file>